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E7A5B0">
      <w:pPr>
        <w:spacing w:before="0" w:after="40"/>
        <w:jc w:val="both"/>
      </w:pPr>
    </w:p>
    <w:p w14:paraId="3BA15EC7">
      <w:pPr>
        <w:spacing w:before="0" w:after="320"/>
        <w:jc w:val="both"/>
        <w:rPr>
          <w:rFonts w:ascii="Times New Roman" w:hAnsi="Times New Roman"/>
          <w:b w:val="0"/>
          <w:i w:val="0"/>
          <w:sz w:val="28"/>
        </w:rPr>
      </w:pPr>
    </w:p>
    <w:p w14:paraId="0221EBC3">
      <w:pPr>
        <w:spacing w:before="0" w:after="320"/>
        <w:jc w:val="both"/>
        <w:rPr>
          <w:rFonts w:hint="default"/>
          <w:b/>
          <w:bCs/>
          <w:i w:val="0"/>
          <w:sz w:val="28"/>
          <w:lang w:val="en-US"/>
        </w:rPr>
      </w:pPr>
    </w:p>
    <w:p w14:paraId="2439211D">
      <w:pPr>
        <w:spacing w:before="0" w:after="320"/>
        <w:jc w:val="both"/>
        <w:rPr>
          <w:b/>
          <w:bCs/>
        </w:rPr>
      </w:pPr>
      <w:r>
        <w:rPr>
          <w:rFonts w:hint="default"/>
          <w:b/>
          <w:bCs/>
          <w:i w:val="0"/>
          <w:sz w:val="28"/>
          <w:lang w:val="en-US"/>
        </w:rPr>
        <w:t>REF. NO. HCJ/DADR/GM/001/V.1/35</w:t>
      </w:r>
      <w:r>
        <w:rPr>
          <w:rFonts w:hint="default"/>
          <w:b/>
          <w:bCs/>
          <w:i w:val="0"/>
          <w:sz w:val="28"/>
          <w:lang w:val="en-US"/>
        </w:rPr>
        <w:tab/>
        <w:t xml:space="preserve">                  </w:t>
      </w:r>
      <w:r>
        <w:rPr>
          <w:rFonts w:ascii="Times New Roman" w:hAnsi="Times New Roman"/>
          <w:b/>
          <w:bCs/>
          <w:i w:val="0"/>
          <w:sz w:val="28"/>
        </w:rPr>
        <w:t xml:space="preserve">Date: </w:t>
      </w:r>
      <w:r>
        <w:rPr>
          <w:rFonts w:hint="default"/>
          <w:b/>
          <w:bCs/>
          <w:i w:val="0"/>
          <w:sz w:val="28"/>
          <w:lang w:val="en-US"/>
        </w:rPr>
        <w:t>6</w:t>
      </w:r>
      <w:r>
        <w:rPr>
          <w:rFonts w:hint="default"/>
          <w:b/>
          <w:bCs/>
          <w:i w:val="0"/>
          <w:sz w:val="28"/>
          <w:vertAlign w:val="superscript"/>
          <w:lang w:val="en-US"/>
        </w:rPr>
        <w:t>th</w:t>
      </w:r>
      <w:r>
        <w:rPr>
          <w:rFonts w:hint="default"/>
          <w:b/>
          <w:bCs/>
          <w:i w:val="0"/>
          <w:sz w:val="28"/>
          <w:lang w:val="en-US"/>
        </w:rPr>
        <w:t xml:space="preserve"> August,</w:t>
      </w:r>
      <w:r>
        <w:rPr>
          <w:rFonts w:ascii="Times New Roman" w:hAnsi="Times New Roman"/>
          <w:b/>
          <w:bCs/>
          <w:i w:val="0"/>
          <w:sz w:val="28"/>
        </w:rPr>
        <w:t xml:space="preserve"> 2026</w:t>
      </w:r>
    </w:p>
    <w:p w14:paraId="2EAFB4CB">
      <w:pPr>
        <w:spacing w:before="0" w:after="40"/>
        <w:jc w:val="both"/>
      </w:pPr>
      <w:r>
        <w:rPr>
          <w:rFonts w:ascii="Times New Roman" w:hAnsi="Times New Roman"/>
          <w:b w:val="0"/>
          <w:i w:val="0"/>
          <w:sz w:val="28"/>
        </w:rPr>
        <w:t>The Head, ICT Unit</w:t>
      </w:r>
    </w:p>
    <w:p w14:paraId="4E7AE090">
      <w:pPr>
        <w:spacing w:before="0" w:after="40"/>
        <w:jc w:val="both"/>
      </w:pPr>
      <w:r>
        <w:rPr>
          <w:rFonts w:ascii="Times New Roman" w:hAnsi="Times New Roman"/>
          <w:b w:val="0"/>
          <w:i w:val="0"/>
          <w:sz w:val="28"/>
        </w:rPr>
        <w:t>High Court of Justice</w:t>
      </w:r>
    </w:p>
    <w:p w14:paraId="588DA7DA">
      <w:pPr>
        <w:spacing w:before="0" w:after="400"/>
        <w:jc w:val="both"/>
      </w:pPr>
      <w:r>
        <w:rPr>
          <w:rFonts w:ascii="Times New Roman" w:hAnsi="Times New Roman"/>
          <w:b w:val="0"/>
          <w:i w:val="0"/>
          <w:sz w:val="28"/>
        </w:rPr>
        <w:t>Gombe State</w:t>
      </w:r>
    </w:p>
    <w:p w14:paraId="44AF75EB">
      <w:pPr>
        <w:spacing w:before="0" w:after="240"/>
        <w:jc w:val="both"/>
      </w:pPr>
      <w:r>
        <w:rPr>
          <w:rFonts w:ascii="Times New Roman" w:hAnsi="Times New Roman"/>
          <w:b w:val="0"/>
          <w:i w:val="0"/>
          <w:sz w:val="28"/>
        </w:rPr>
        <w:t>Dear Sir / Ma,</w:t>
      </w:r>
    </w:p>
    <w:p w14:paraId="49A4B3EB">
      <w:pPr>
        <w:spacing w:before="0" w:after="240"/>
        <w:jc w:val="center"/>
      </w:pPr>
      <w:r>
        <w:rPr>
          <w:rFonts w:ascii="Times New Roman" w:hAnsi="Times New Roman"/>
          <w:b/>
          <w:i w:val="0"/>
          <w:sz w:val="28"/>
        </w:rPr>
        <w:t>RE: PUBLICATION OF APPROVED GSMDC INSTITUTIONAL INSTRUMENTS ON THE HIGH COURT WEBSITE</w:t>
      </w:r>
    </w:p>
    <w:p w14:paraId="136D0D86">
      <w:pPr>
        <w:spacing w:before="0" w:after="120"/>
        <w:jc w:val="both"/>
      </w:pPr>
      <w:r>
        <w:rPr>
          <w:rFonts w:ascii="Times New Roman" w:hAnsi="Times New Roman"/>
          <w:b w:val="0"/>
          <w:i w:val="0"/>
          <w:sz w:val="28"/>
        </w:rPr>
        <w:t>I write to request the ICT Unit's assistance with the publication of the following institutional instruments on the official website of the High Court of Justice, Gombe State, following their formal approval by the Honourable Chief Judge, Hon. Justice Halima S. Mohammed, on the 26</w:t>
      </w:r>
      <w:r>
        <w:rPr>
          <w:rFonts w:ascii="Times New Roman" w:hAnsi="Times New Roman"/>
          <w:b w:val="0"/>
          <w:i w:val="0"/>
          <w:sz w:val="28"/>
          <w:vertAlign w:val="superscript"/>
        </w:rPr>
        <w:t>th</w:t>
      </w:r>
      <w:r>
        <w:rPr>
          <w:rFonts w:hint="default"/>
          <w:b w:val="0"/>
          <w:i w:val="0"/>
          <w:sz w:val="28"/>
          <w:lang w:val="en-US"/>
        </w:rPr>
        <w:t xml:space="preserve"> </w:t>
      </w:r>
      <w:r>
        <w:rPr>
          <w:rFonts w:ascii="Times New Roman" w:hAnsi="Times New Roman"/>
          <w:b w:val="0"/>
          <w:i w:val="0"/>
          <w:sz w:val="28"/>
        </w:rPr>
        <w:t>of June 2026:</w:t>
      </w:r>
    </w:p>
    <w:p w14:paraId="10A3DBD9">
      <w:pPr>
        <w:spacing w:before="0" w:after="60"/>
        <w:jc w:val="both"/>
      </w:pPr>
      <w:r>
        <w:rPr>
          <w:rFonts w:ascii="Times New Roman" w:hAnsi="Times New Roman"/>
          <w:b w:val="0"/>
          <w:i w:val="0"/>
          <w:sz w:val="28"/>
        </w:rPr>
        <w:t>1.   The Gombe State Multi-Door Courthouse Practice Directions No. 2 of 2026;</w:t>
      </w:r>
    </w:p>
    <w:p w14:paraId="659538C3">
      <w:pPr>
        <w:spacing w:before="0" w:after="60"/>
        <w:jc w:val="both"/>
      </w:pPr>
      <w:r>
        <w:rPr>
          <w:rFonts w:ascii="Times New Roman" w:hAnsi="Times New Roman"/>
          <w:b w:val="0"/>
          <w:i w:val="0"/>
          <w:sz w:val="28"/>
        </w:rPr>
        <w:t>2.   The Gombe State ADR Directorate (Arbitration) Rules, 2026 / Arbitration Handbook; and</w:t>
      </w:r>
    </w:p>
    <w:p w14:paraId="6E947C82">
      <w:pPr>
        <w:spacing w:before="0" w:after="240"/>
        <w:jc w:val="both"/>
      </w:pPr>
      <w:r>
        <w:rPr>
          <w:rFonts w:ascii="Times New Roman" w:hAnsi="Times New Roman"/>
          <w:b w:val="0"/>
          <w:i w:val="0"/>
          <w:sz w:val="28"/>
        </w:rPr>
        <w:t>3.   The Gombe State Multi-Door Courthouse Mediation Procedure, 2026.</w:t>
      </w:r>
    </w:p>
    <w:p w14:paraId="35C78645">
      <w:pPr>
        <w:spacing w:before="0" w:after="120"/>
        <w:jc w:val="both"/>
      </w:pPr>
      <w:r>
        <w:rPr>
          <w:rFonts w:ascii="Times New Roman" w:hAnsi="Times New Roman"/>
          <w:b w:val="0"/>
          <w:i w:val="0"/>
          <w:sz w:val="28"/>
        </w:rPr>
        <w:t>The Directorate respectfully requests that the ICT Unit carry out the following two publications on the High Court website:</w:t>
      </w:r>
    </w:p>
    <w:p w14:paraId="567BAC65">
      <w:pPr>
        <w:spacing w:before="0" w:after="80"/>
        <w:jc w:val="both"/>
      </w:pPr>
      <w:r>
        <w:rPr>
          <w:rFonts w:ascii="Times New Roman" w:hAnsi="Times New Roman"/>
          <w:b/>
          <w:i w:val="0"/>
          <w:sz w:val="28"/>
        </w:rPr>
        <w:t>FIRST — A NOTICE OF APPROVAL</w:t>
      </w:r>
    </w:p>
    <w:p w14:paraId="7D48F652">
      <w:pPr>
        <w:spacing w:before="0" w:after="240"/>
        <w:jc w:val="both"/>
      </w:pPr>
      <w:r>
        <w:rPr>
          <w:rFonts w:ascii="Times New Roman" w:hAnsi="Times New Roman"/>
          <w:b w:val="0"/>
          <w:i w:val="0"/>
          <w:sz w:val="28"/>
        </w:rPr>
        <w:t>A formal notice or announcement on the website's news or announcements section, informing the public, legal practitioners, and litigants that the above instruments have been formally approved by the Honourable Chief Judge and are now in force. The notice should state the date of approval (26th June 2026) and direct visitors to the full texts of the instruments as described below. The Directorate will provide the suggested text of this notice to the ICT Unit upon request.</w:t>
      </w:r>
    </w:p>
    <w:p w14:paraId="01EEE8D4">
      <w:pPr>
        <w:spacing w:before="0" w:after="80"/>
        <w:jc w:val="both"/>
      </w:pPr>
      <w:r>
        <w:rPr>
          <w:rFonts w:ascii="Times New Roman" w:hAnsi="Times New Roman"/>
          <w:b/>
          <w:i w:val="0"/>
          <w:sz w:val="28"/>
        </w:rPr>
        <w:t>SECOND — FULL TEXTS AS DOWNLOADABLE PDFs</w:t>
      </w:r>
    </w:p>
    <w:p w14:paraId="7EAEAC1A">
      <w:pPr>
        <w:spacing w:before="0" w:after="240"/>
        <w:jc w:val="both"/>
      </w:pPr>
      <w:r>
        <w:rPr>
          <w:rFonts w:ascii="Times New Roman" w:hAnsi="Times New Roman"/>
          <w:b w:val="0"/>
          <w:i w:val="0"/>
          <w:sz w:val="28"/>
        </w:rPr>
        <w:t xml:space="preserve">The full texts of all three instruments, each as a separate, clearly labelled </w:t>
      </w:r>
      <w:bookmarkStart w:id="0" w:name="_GoBack"/>
      <w:bookmarkEnd w:id="0"/>
      <w:r>
        <w:rPr>
          <w:rFonts w:ascii="Times New Roman" w:hAnsi="Times New Roman"/>
          <w:b w:val="0"/>
          <w:i w:val="0"/>
          <w:sz w:val="28"/>
        </w:rPr>
        <w:t>downloadable PDF document, to be published on the High Court website — ideally under a dedicated section for the Gombe State Multi-Door Courthouse / ADR Directorate. PDF copies of all three instruments are enclosed with this note for that purpose.</w:t>
      </w:r>
    </w:p>
    <w:p w14:paraId="7D7EEAD8">
      <w:pPr>
        <w:spacing w:before="0" w:after="120"/>
        <w:jc w:val="both"/>
      </w:pPr>
      <w:r>
        <w:rPr>
          <w:rFonts w:ascii="Times New Roman" w:hAnsi="Times New Roman"/>
          <w:b w:val="0"/>
          <w:i w:val="0"/>
          <w:sz w:val="28"/>
        </w:rPr>
        <w:t>The publication of these instruments on the High Court website is an important step in making the GSMDC's services accessible to the general public, legal practitioners, and potential institutional users across Gombe State and beyond. The Directorate would be grateful for the ICT Unit's prompt attention to this request.</w:t>
      </w:r>
    </w:p>
    <w:p w14:paraId="0AF9BCD1">
      <w:pPr>
        <w:spacing w:before="0" w:after="120"/>
        <w:jc w:val="both"/>
      </w:pPr>
      <w:r>
        <w:rPr>
          <w:rFonts w:ascii="Times New Roman" w:hAnsi="Times New Roman"/>
          <w:b w:val="0"/>
          <w:i w:val="0"/>
          <w:sz w:val="28"/>
        </w:rPr>
        <w:t>Please do not hesitate to contact the ADR Directorate should any further information or technical specifications be required.</w:t>
      </w:r>
    </w:p>
    <w:p w14:paraId="7F8A5C10">
      <w:pPr>
        <w:spacing w:before="0" w:after="400"/>
        <w:jc w:val="both"/>
      </w:pPr>
      <w:r>
        <w:rPr>
          <w:rFonts w:ascii="Times New Roman" w:hAnsi="Times New Roman"/>
          <w:b w:val="0"/>
          <w:i w:val="0"/>
          <w:sz w:val="28"/>
        </w:rPr>
        <w:t>Thank you for your assistance.</w:t>
      </w:r>
    </w:p>
    <w:p w14:paraId="1CE726E8">
      <w:pPr>
        <w:spacing w:before="0" w:after="400"/>
        <w:jc w:val="both"/>
        <w:rPr>
          <w:rFonts w:ascii="Times New Roman" w:hAnsi="Times New Roman"/>
          <w:b w:val="0"/>
          <w:i w:val="0"/>
          <w:sz w:val="28"/>
        </w:rPr>
      </w:pPr>
      <w:r>
        <w:rPr>
          <w:rFonts w:ascii="Times New Roman" w:hAnsi="Times New Roman"/>
          <w:b w:val="0"/>
          <w:i w:val="0"/>
          <w:sz w:val="28"/>
        </w:rPr>
        <w:t>Yours faithfully,</w:t>
      </w:r>
    </w:p>
    <w:p w14:paraId="1BFE8145">
      <w:pPr>
        <w:spacing w:before="0" w:after="400"/>
        <w:jc w:val="both"/>
        <w:rPr>
          <w:rFonts w:ascii="Times New Roman" w:hAnsi="Times New Roman"/>
          <w:b w:val="0"/>
          <w:i w:val="0"/>
          <w:sz w:val="28"/>
        </w:rPr>
      </w:pPr>
    </w:p>
    <w:p w14:paraId="49CD02FF">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b/>
          <w:i w:val="0"/>
          <w:sz w:val="28"/>
        </w:rPr>
        <w:t>Muhammad Tukur Jungudo, Esq.</w:t>
      </w:r>
    </w:p>
    <w:p w14:paraId="0C96D5CB">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b w:val="0"/>
          <w:i/>
          <w:sz w:val="28"/>
        </w:rPr>
        <w:t>Deputy Chief Registrar (ADR) / Director</w:t>
      </w:r>
    </w:p>
    <w:p w14:paraId="77FC5AB8">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b w:val="0"/>
          <w:i/>
          <w:sz w:val="28"/>
        </w:rPr>
        <w:t>ADR Directorate and Gombe State Multi-Door Courthouse</w:t>
      </w:r>
    </w:p>
    <w:p w14:paraId="703E005D">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b w:val="0"/>
          <w:i/>
          <w:sz w:val="28"/>
        </w:rPr>
        <w:t>High Court of Justice, Gombe State</w:t>
      </w:r>
    </w:p>
    <w:p w14:paraId="58D0E8DD">
      <w:pPr>
        <w:spacing w:before="0" w:after="40"/>
        <w:jc w:val="both"/>
      </w:pPr>
      <w:r>
        <w:rPr>
          <w:rFonts w:ascii="Times New Roman" w:hAnsi="Times New Roman"/>
          <w:b/>
          <w:i w:val="0"/>
          <w:sz w:val="28"/>
        </w:rPr>
        <w:t>Encl:</w:t>
      </w:r>
    </w:p>
    <w:p w14:paraId="1B56F7AB">
      <w:pPr>
        <w:spacing w:before="0" w:after="40"/>
        <w:jc w:val="both"/>
      </w:pPr>
      <w:r>
        <w:rPr>
          <w:rFonts w:ascii="Times New Roman" w:hAnsi="Times New Roman"/>
          <w:b w:val="0"/>
          <w:i w:val="0"/>
          <w:sz w:val="28"/>
        </w:rPr>
        <w:t>(i)    Gombe State Multi-Door Courthouse Practice Directions No. 2 of 2026 (PDF)</w:t>
      </w:r>
    </w:p>
    <w:p w14:paraId="1194653A">
      <w:pPr>
        <w:spacing w:before="0" w:after="40"/>
        <w:jc w:val="both"/>
      </w:pPr>
      <w:r>
        <w:rPr>
          <w:rFonts w:ascii="Times New Roman" w:hAnsi="Times New Roman"/>
          <w:b w:val="0"/>
          <w:i w:val="0"/>
          <w:sz w:val="28"/>
        </w:rPr>
        <w:t>(ii)   Gombe State ADR Directorate (Arbitration) Rules, 2026 / Arbitration Handbook (PDF)</w:t>
      </w:r>
    </w:p>
    <w:p w14:paraId="75BE7D9C">
      <w:pPr>
        <w:spacing w:before="0" w:after="40"/>
        <w:jc w:val="both"/>
      </w:pPr>
      <w:r>
        <w:rPr>
          <w:rFonts w:ascii="Times New Roman" w:hAnsi="Times New Roman"/>
          <w:b w:val="0"/>
          <w:i w:val="0"/>
          <w:sz w:val="28"/>
        </w:rPr>
        <w:t>(iii)  Gombe State Multi-Door Courthouse Mediation Procedure, 2026 (PDF)</w:t>
      </w:r>
    </w:p>
    <w:p w14:paraId="6F383EFD">
      <w:pPr>
        <w:spacing w:before="0" w:after="40"/>
        <w:jc w:val="both"/>
      </w:pPr>
      <w:r>
        <w:rPr>
          <w:rFonts w:ascii="Times New Roman" w:hAnsi="Times New Roman"/>
          <w:b w:val="0"/>
          <w:i w:val="0"/>
          <w:sz w:val="28"/>
        </w:rPr>
        <w:t>(iv)  Suggested Website Notice Text (for ICT Unit's use)</w:t>
      </w:r>
    </w:p>
    <w:sectPr>
      <w:footerReference r:id="rId5" w:type="default"/>
      <w:pgSz w:w="12240" w:h="15840"/>
      <w:pgMar w:top="1417" w:right="1417" w:bottom="1417" w:left="1701"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panose1 w:val="020B0604020202020204"/>
    <w:charset w:val="86"/>
    <w:family w:val="auto"/>
    <w:pitch w:val="default"/>
    <w:sig w:usb0="FFFFFFFF" w:usb1="E9FFFFFF" w:usb2="0000003F" w:usb3="00000000" w:csb0="603F01FF" w:csb1="FFFF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EF3EB">
    <w:pPr>
      <w:pStyle w:val="18"/>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0B28B91">
                          <w:pPr>
                            <w:pStyle w:val="18"/>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NEw1/TMAgAA&#10;IwYAAA4AAAAAAAAAAQAgAAAAHwEAAGRycy9lMm9Eb2MueG1sUEsFBgAAAAAGAAYAWQEAAF0GAAAA&#10;AA==&#10;">
              <v:fill on="f" focussize="0,0"/>
              <v:stroke on="f" weight="0.5pt"/>
              <v:imagedata o:title=""/>
              <o:lock v:ext="edit" aspectratio="f"/>
              <v:textbox inset="0mm,0mm,0mm,0mm" style="mso-fit-shape-to-text:t;">
                <w:txbxContent>
                  <w:p w14:paraId="70B28B91">
                    <w:pPr>
                      <w:pStyle w:val="18"/>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D953813"/>
    <w:rsid w:val="6079219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qFormat="1"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EastAsia" w:cstheme="minorBidi"/>
      <w:sz w:val="28"/>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4"/>
    <w:unhideWhenUsed/>
    <w:qFormat/>
    <w:uiPriority w:val="99"/>
    <w:pPr>
      <w:spacing w:after="120"/>
    </w:pPr>
  </w:style>
  <w:style w:type="paragraph" w:styleId="14">
    <w:name w:val="Body Text 2"/>
    <w:basedOn w:val="1"/>
    <w:link w:val="145"/>
    <w:unhideWhenUsed/>
    <w:qFormat/>
    <w:uiPriority w:val="99"/>
    <w:pPr>
      <w:spacing w:after="120" w:line="480" w:lineRule="auto"/>
    </w:pPr>
  </w:style>
  <w:style w:type="paragraph" w:styleId="15">
    <w:name w:val="Body Text 3"/>
    <w:basedOn w:val="1"/>
    <w:link w:val="146"/>
    <w:unhideWhenUsed/>
    <w:qFormat/>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uiPriority w:val="99"/>
    <w:pPr>
      <w:tabs>
        <w:tab w:val="center" w:pos="4680"/>
        <w:tab w:val="right" w:pos="9360"/>
      </w:tabs>
      <w:spacing w:after="0" w:line="240" w:lineRule="auto"/>
    </w:pPr>
  </w:style>
  <w:style w:type="paragraph" w:styleId="19">
    <w:name w:val="header"/>
    <w:basedOn w:val="1"/>
    <w:link w:val="135"/>
    <w:unhideWhenUsed/>
    <w:uiPriority w:val="99"/>
    <w:pPr>
      <w:tabs>
        <w:tab w:val="center" w:pos="4680"/>
        <w:tab w:val="right" w:pos="9360"/>
      </w:tabs>
      <w:spacing w:after="0" w:line="240" w:lineRule="auto"/>
    </w:pPr>
  </w:style>
  <w:style w:type="paragraph" w:styleId="20">
    <w:name w:val="List"/>
    <w:basedOn w:val="1"/>
    <w:unhideWhenUsed/>
    <w:qFormat/>
    <w:uiPriority w:val="99"/>
    <w:pPr>
      <w:ind w:left="360" w:hanging="360"/>
      <w:contextualSpacing/>
    </w:pPr>
  </w:style>
  <w:style w:type="paragraph" w:styleId="21">
    <w:name w:val="List 2"/>
    <w:basedOn w:val="1"/>
    <w:unhideWhenUsed/>
    <w:qFormat/>
    <w:uiPriority w:val="99"/>
    <w:pPr>
      <w:ind w:left="720" w:hanging="360"/>
      <w:contextualSpacing/>
    </w:pPr>
  </w:style>
  <w:style w:type="paragraph" w:styleId="22">
    <w:name w:val="List 3"/>
    <w:basedOn w:val="1"/>
    <w:unhideWhenUsed/>
    <w:qFormat/>
    <w:uiPriority w:val="99"/>
    <w:pPr>
      <w:ind w:left="1080" w:hanging="360"/>
      <w:contextualSpacing/>
    </w:pPr>
  </w:style>
  <w:style w:type="paragraph" w:styleId="23">
    <w:name w:val="List Bullet"/>
    <w:basedOn w:val="1"/>
    <w:unhideWhenUsed/>
    <w:qFormat/>
    <w:uiPriority w:val="99"/>
    <w:pPr>
      <w:numPr>
        <w:ilvl w:val="0"/>
        <w:numId w:val="1"/>
      </w:numPr>
      <w:contextualSpacing/>
    </w:pPr>
  </w:style>
  <w:style w:type="paragraph" w:styleId="24">
    <w:name w:val="List Bullet 2"/>
    <w:basedOn w:val="1"/>
    <w:unhideWhenUsed/>
    <w:qFormat/>
    <w:uiPriority w:val="99"/>
    <w:pPr>
      <w:numPr>
        <w:ilvl w:val="0"/>
        <w:numId w:val="2"/>
      </w:numPr>
      <w:contextualSpacing/>
    </w:pPr>
  </w:style>
  <w:style w:type="paragraph" w:styleId="25">
    <w:name w:val="List Bullet 3"/>
    <w:basedOn w:val="1"/>
    <w:unhideWhenUsed/>
    <w:qFormat/>
    <w:uiPriority w:val="99"/>
    <w:pPr>
      <w:numPr>
        <w:ilvl w:val="0"/>
        <w:numId w:val="3"/>
      </w:numPr>
      <w:contextualSpacing/>
    </w:pPr>
  </w:style>
  <w:style w:type="paragraph" w:styleId="26">
    <w:name w:val="List Continue"/>
    <w:basedOn w:val="1"/>
    <w:unhideWhenUsed/>
    <w:qFormat/>
    <w:uiPriority w:val="99"/>
    <w:pPr>
      <w:spacing w:after="120"/>
      <w:ind w:left="360"/>
      <w:contextualSpacing/>
    </w:pPr>
  </w:style>
  <w:style w:type="paragraph" w:styleId="27">
    <w:name w:val="List Continue 2"/>
    <w:basedOn w:val="1"/>
    <w:unhideWhenUsed/>
    <w:qFormat/>
    <w:uiPriority w:val="99"/>
    <w:pPr>
      <w:spacing w:after="120"/>
      <w:ind w:left="720"/>
      <w:contextualSpacing/>
    </w:pPr>
  </w:style>
  <w:style w:type="paragraph" w:styleId="28">
    <w:name w:val="List Continue 3"/>
    <w:basedOn w:val="1"/>
    <w:unhideWhenUsed/>
    <w:qFormat/>
    <w:uiPriority w:val="99"/>
    <w:pPr>
      <w:spacing w:after="120"/>
      <w:ind w:left="1080"/>
      <w:contextualSpacing/>
    </w:pPr>
  </w:style>
  <w:style w:type="paragraph" w:styleId="29">
    <w:name w:val="List Number"/>
    <w:basedOn w:val="1"/>
    <w:unhideWhenUsed/>
    <w:qFormat/>
    <w:uiPriority w:val="99"/>
    <w:pPr>
      <w:numPr>
        <w:ilvl w:val="0"/>
        <w:numId w:val="4"/>
      </w:numPr>
      <w:contextualSpacing/>
    </w:pPr>
  </w:style>
  <w:style w:type="paragraph" w:styleId="30">
    <w:name w:val="List Number 2"/>
    <w:basedOn w:val="1"/>
    <w:unhideWhenUsed/>
    <w:qFormat/>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qFormat/>
    <w:uiPriority w:val="99"/>
  </w:style>
  <w:style w:type="character" w:customStyle="1" w:styleId="136">
    <w:name w:val="Footer Char"/>
    <w:basedOn w:val="11"/>
    <w:link w:val="18"/>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qFormat/>
    <w:uiPriority w:val="99"/>
  </w:style>
  <w:style w:type="character" w:customStyle="1" w:styleId="145">
    <w:name w:val="Body Text 2 Char"/>
    <w:basedOn w:val="11"/>
    <w:link w:val="14"/>
    <w:uiPriority w:val="99"/>
  </w:style>
  <w:style w:type="character" w:customStyle="1" w:styleId="146">
    <w:name w:val="Body Text 3 Char"/>
    <w:basedOn w:val="11"/>
    <w:link w:val="15"/>
    <w:qFormat/>
    <w:uiPriority w:val="99"/>
    <w:rPr>
      <w:sz w:val="16"/>
      <w:szCs w:val="16"/>
    </w:rPr>
  </w:style>
  <w:style w:type="character" w:customStyle="1" w:styleId="147">
    <w:name w:val="Macro Text Char"/>
    <w:basedOn w:val="11"/>
    <w:link w:val="3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qFormat/>
    <w:uiPriority w:val="29"/>
    <w:rPr>
      <w:i/>
      <w:iCs/>
      <w:color w:val="000000" w:themeColor="text1"/>
      <w14:textFill>
        <w14:solidFill>
          <w14:schemeClr w14:val="tx1"/>
        </w14:solidFill>
      </w14:textFill>
    </w:rPr>
  </w:style>
  <w:style w:type="character" w:customStyle="1" w:styleId="150">
    <w:name w:val="Heading 4 Char"/>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qFormat/>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20</TotalTime>
  <ScaleCrop>false</ScaleCrop>
  <LinksUpToDate>false</LinksUpToDate>
  <CharactersWithSpaces>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Muhammad Tukur Jungudo</cp:lastModifiedBy>
  <cp:lastPrinted>2026-08-06T13:58:01Z</cp:lastPrinted>
  <dcterms:modified xsi:type="dcterms:W3CDTF">2026-08-06T14:05:13Z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82485515EE3C498A9D5D67FAEAA26C92_12</vt:lpwstr>
  </property>
</Properties>
</file>