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7A85B">
      <w:pPr>
        <w:spacing w:before="0" w:after="120"/>
        <w:jc w:val="center"/>
        <w:rPr>
          <w:rFonts w:ascii="Times New Roman" w:hAnsi="Times New Roman"/>
          <w:b/>
          <w:i w:val="0"/>
          <w:sz w:val="32"/>
        </w:rPr>
      </w:pPr>
    </w:p>
    <w:p w14:paraId="0112A982">
      <w:pPr>
        <w:spacing w:before="0" w:after="120"/>
        <w:jc w:val="center"/>
        <w:rPr>
          <w:rFonts w:ascii="Times New Roman" w:hAnsi="Times New Roman"/>
          <w:b/>
          <w:i w:val="0"/>
          <w:sz w:val="32"/>
        </w:rPr>
      </w:pPr>
    </w:p>
    <w:p w14:paraId="45B842C2">
      <w:pPr>
        <w:spacing w:before="0" w:after="120"/>
        <w:jc w:val="center"/>
        <w:rPr>
          <w:rFonts w:ascii="Times New Roman" w:hAnsi="Times New Roman"/>
          <w:b/>
          <w:i w:val="0"/>
          <w:sz w:val="32"/>
        </w:rPr>
      </w:pPr>
    </w:p>
    <w:p w14:paraId="34380106">
      <w:pPr>
        <w:spacing w:before="0" w:after="120"/>
        <w:jc w:val="center"/>
        <w:rPr>
          <w:rFonts w:ascii="Times New Roman" w:hAnsi="Times New Roman"/>
          <w:b/>
          <w:i w:val="0"/>
          <w:sz w:val="32"/>
        </w:rPr>
      </w:pPr>
    </w:p>
    <w:p w14:paraId="3C3E59CF">
      <w:pPr>
        <w:spacing w:before="0" w:after="120"/>
        <w:jc w:val="center"/>
      </w:pPr>
      <w:r>
        <w:rPr>
          <w:rFonts w:ascii="Times New Roman" w:hAnsi="Times New Roman"/>
          <w:b/>
          <w:i w:val="0"/>
          <w:sz w:val="32"/>
        </w:rPr>
        <w:t>NOTICE</w:t>
      </w:r>
    </w:p>
    <w:p w14:paraId="01CA0B7D">
      <w:pPr>
        <w:spacing w:before="0" w:after="240"/>
        <w:jc w:val="center"/>
      </w:pPr>
      <w:r>
        <w:rPr>
          <w:rFonts w:ascii="Times New Roman" w:hAnsi="Times New Roman"/>
          <w:b/>
          <w:i w:val="0"/>
          <w:sz w:val="30"/>
        </w:rPr>
        <w:t>APPROVAL AND COMING INTO FORCE OF THE GOMBE STATE MULTI-DOOR COURTHOUSE INSTITUTIONAL INSTRUMENTS</w:t>
      </w:r>
    </w:p>
    <w:p w14:paraId="2EDB2F6A">
      <w:pPr>
        <w:spacing w:before="0" w:after="120"/>
        <w:jc w:val="both"/>
      </w:pPr>
      <w:r>
        <w:rPr>
          <w:rFonts w:ascii="Times New Roman" w:hAnsi="Times New Roman"/>
          <w:b w:val="0"/>
          <w:i w:val="0"/>
          <w:sz w:val="28"/>
        </w:rPr>
        <w:t>The High Court of Justice, Gombe State, is pleased to announce that the Honourable Chief Judge, Hon. Justice Halima S. Mohammed, has approved and issued the following institutional instruments governing Alternative Dispute Resolution (ADR) at the Gombe State Multi-Door Courthouse (GSMDC):</w:t>
      </w:r>
    </w:p>
    <w:p w14:paraId="30170B0A">
      <w:pPr>
        <w:spacing w:before="0" w:after="60"/>
        <w:jc w:val="both"/>
      </w:pPr>
      <w:r>
        <w:rPr>
          <w:rFonts w:ascii="Times New Roman" w:hAnsi="Times New Roman"/>
          <w:b/>
          <w:i w:val="0"/>
          <w:sz w:val="28"/>
        </w:rPr>
        <w:t>1.   The Gombe State Multi-Door Courthouse Practice Directions No. 2 of 2026</w:t>
      </w:r>
    </w:p>
    <w:p w14:paraId="5A7007E9">
      <w:pPr>
        <w:spacing w:before="0" w:after="200"/>
        <w:jc w:val="both"/>
      </w:pPr>
      <w:r>
        <w:rPr>
          <w:rFonts w:ascii="Times New Roman" w:hAnsi="Times New Roman"/>
          <w:b w:val="0"/>
          <w:i w:val="0"/>
          <w:sz w:val="28"/>
        </w:rPr>
        <w:t>These Practice Directions consolidate and replace the Practice Directions No. 1 of 2024. They constitute the primary institutional and procedural framework for all ADR proceedings — including arbitration, mediation, and neutral evaluation — conducted at the GSMDC. They are issued under the authority of the Honourable Chief Judge pursuant to Section 274 of the Constitution of the Federal Republic of Nigeria, 1999 (as amended).</w:t>
      </w:r>
    </w:p>
    <w:p w14:paraId="49A2D03C">
      <w:pPr>
        <w:spacing w:before="0" w:after="60"/>
        <w:jc w:val="both"/>
      </w:pPr>
      <w:r>
        <w:rPr>
          <w:rFonts w:ascii="Times New Roman" w:hAnsi="Times New Roman"/>
          <w:b/>
          <w:i w:val="0"/>
          <w:sz w:val="28"/>
        </w:rPr>
        <w:t>2.   The Gombe State ADR Directorate (Arbitration) Rules, 2026</w:t>
      </w:r>
    </w:p>
    <w:p w14:paraId="692B8810">
      <w:pPr>
        <w:spacing w:before="0" w:after="200"/>
        <w:jc w:val="both"/>
      </w:pPr>
      <w:r>
        <w:rPr>
          <w:rFonts w:ascii="Times New Roman" w:hAnsi="Times New Roman"/>
          <w:b w:val="0"/>
          <w:i w:val="0"/>
          <w:sz w:val="28"/>
        </w:rPr>
        <w:t>These Rules, together with the accompanying Arbitration Handbook, provide the complete procedural framework for arbitration proceedings at the GSMDC. They give full institutional expression to the Arbitration and Mediation Act, 2023, at the state level, and are designed for use by legal practitioners, businesses, and all parties to arbitration proceedings.</w:t>
      </w:r>
    </w:p>
    <w:p w14:paraId="74322FA2">
      <w:pPr>
        <w:spacing w:before="0" w:after="60"/>
        <w:jc w:val="both"/>
      </w:pPr>
      <w:r>
        <w:rPr>
          <w:rFonts w:ascii="Times New Roman" w:hAnsi="Times New Roman"/>
          <w:b/>
          <w:i w:val="0"/>
          <w:sz w:val="28"/>
        </w:rPr>
        <w:t>3.   The Gombe State Multi-Door Courthouse Mediation Procedure, 2026</w:t>
      </w:r>
    </w:p>
    <w:p w14:paraId="0F70C215">
      <w:pPr>
        <w:spacing w:before="0" w:after="200"/>
        <w:jc w:val="both"/>
      </w:pPr>
      <w:r>
        <w:rPr>
          <w:rFonts w:ascii="Times New Roman" w:hAnsi="Times New Roman"/>
          <w:b w:val="0"/>
          <w:i w:val="0"/>
          <w:sz w:val="28"/>
        </w:rPr>
        <w:t xml:space="preserve">This Procedure provides the complete step-by-step framework for mediation proceedings at the GSMDC. It is issued as Schedule B to the Practice Directions No. 2 of 2026 and gives full effect to Part III (Sections 69 to 90) of the Arbitration and Mediation Act, 2023. </w:t>
      </w:r>
    </w:p>
    <w:p w14:paraId="771F740F">
      <w:pPr>
        <w:spacing w:before="0" w:after="80"/>
        <w:jc w:val="both"/>
      </w:pPr>
      <w:r>
        <w:rPr>
          <w:rFonts w:ascii="Times New Roman" w:hAnsi="Times New Roman"/>
          <w:b/>
          <w:i w:val="0"/>
          <w:sz w:val="28"/>
        </w:rPr>
        <w:t xml:space="preserve">DATE OF APPROVAL </w:t>
      </w:r>
      <w:bookmarkStart w:id="0" w:name="_GoBack"/>
      <w:bookmarkEnd w:id="0"/>
      <w:r>
        <w:rPr>
          <w:rFonts w:ascii="Times New Roman" w:hAnsi="Times New Roman"/>
          <w:b/>
          <w:i w:val="0"/>
          <w:sz w:val="28"/>
        </w:rPr>
        <w:t>AND COMING INTO FORCE</w:t>
      </w:r>
    </w:p>
    <w:p w14:paraId="5729D403">
      <w:pPr>
        <w:spacing w:before="0" w:after="240"/>
        <w:jc w:val="both"/>
      </w:pPr>
      <w:r>
        <w:rPr>
          <w:rFonts w:ascii="Times New Roman" w:hAnsi="Times New Roman"/>
          <w:b w:val="0"/>
          <w:i w:val="0"/>
          <w:sz w:val="28"/>
        </w:rPr>
        <w:t>All three instruments were formally approved by the Honourable Chief Judge on the 26</w:t>
      </w:r>
      <w:r>
        <w:rPr>
          <w:rFonts w:ascii="Times New Roman" w:hAnsi="Times New Roman"/>
          <w:b w:val="0"/>
          <w:i w:val="0"/>
          <w:sz w:val="28"/>
          <w:vertAlign w:val="superscript"/>
        </w:rPr>
        <w:t>th</w:t>
      </w:r>
      <w:r>
        <w:rPr>
          <w:rFonts w:hint="default"/>
          <w:b w:val="0"/>
          <w:i w:val="0"/>
          <w:sz w:val="28"/>
          <w:lang w:val="en-US"/>
        </w:rPr>
        <w:t xml:space="preserve"> </w:t>
      </w:r>
      <w:r>
        <w:rPr>
          <w:rFonts w:ascii="Times New Roman" w:hAnsi="Times New Roman"/>
          <w:b w:val="0"/>
          <w:i w:val="0"/>
          <w:sz w:val="28"/>
        </w:rPr>
        <w:t>of June 2026 and are now in full force and effect.</w:t>
      </w:r>
    </w:p>
    <w:p w14:paraId="7480522D">
      <w:pPr>
        <w:spacing w:before="0" w:after="80"/>
        <w:jc w:val="both"/>
      </w:pPr>
      <w:r>
        <w:rPr>
          <w:rFonts w:ascii="Times New Roman" w:hAnsi="Times New Roman"/>
          <w:b/>
          <w:i w:val="0"/>
          <w:sz w:val="28"/>
        </w:rPr>
        <w:t>DOWNLOADING THE INSTRUMENTS</w:t>
      </w:r>
    </w:p>
    <w:p w14:paraId="1AB45227">
      <w:pPr>
        <w:spacing w:before="0" w:after="240"/>
        <w:jc w:val="both"/>
      </w:pPr>
      <w:r>
        <w:rPr>
          <w:rFonts w:ascii="Times New Roman" w:hAnsi="Times New Roman"/>
          <w:b w:val="0"/>
          <w:i w:val="0"/>
          <w:sz w:val="28"/>
        </w:rPr>
        <w:t>The full texts of all three instruments are available for download below. Members of the public, legal practitioners, businesses, and all institutions wishing to engage the services of the Gombe State Multi-Door Courthouse are encouraged to read the relevant instrument before filing.</w:t>
      </w:r>
    </w:p>
    <w:p w14:paraId="4AF62E7E">
      <w:pPr>
        <w:spacing w:before="0" w:after="240"/>
        <w:jc w:val="both"/>
      </w:pPr>
      <w:r>
        <w:rPr>
          <w:rFonts w:ascii="Times New Roman" w:hAnsi="Times New Roman"/>
          <w:b w:val="0"/>
          <w:i/>
          <w:sz w:val="28"/>
        </w:rPr>
        <w:t>[DOWNLOAD LINKS — ICT Unit to insert download buttons/links for each PDF here]</w:t>
      </w:r>
    </w:p>
    <w:p w14:paraId="7205E5C8">
      <w:pPr>
        <w:spacing w:before="0" w:after="80"/>
        <w:jc w:val="both"/>
      </w:pPr>
      <w:r>
        <w:rPr>
          <w:rFonts w:ascii="Times New Roman" w:hAnsi="Times New Roman"/>
          <w:b/>
          <w:i w:val="0"/>
          <w:sz w:val="28"/>
        </w:rPr>
        <w:t>CONTACT THE GSMDC</w:t>
      </w:r>
    </w:p>
    <w:p w14:paraId="63964FAD">
      <w:pPr>
        <w:spacing w:before="0" w:after="240"/>
        <w:jc w:val="both"/>
      </w:pPr>
      <w:r>
        <w:rPr>
          <w:rFonts w:ascii="Times New Roman" w:hAnsi="Times New Roman"/>
          <w:b w:val="0"/>
          <w:i w:val="0"/>
          <w:sz w:val="28"/>
        </w:rPr>
        <w:t>For enquiries about the GSMDC's services, filing procedures, fees, or the content of these instruments, please contact the ADR Directorate at the High Court of Justice, Gombe State, during normal court working hours.</w:t>
      </w:r>
    </w:p>
    <w:p w14:paraId="28FE019C">
      <w:pPr>
        <w:spacing w:before="0" w:after="40"/>
        <w:jc w:val="both"/>
        <w:rPr>
          <w:rFonts w:ascii="Times New Roman" w:hAnsi="Times New Roman"/>
          <w:b w:val="0"/>
          <w:i/>
          <w:sz w:val="28"/>
        </w:rPr>
      </w:pPr>
      <w:r>
        <w:rPr>
          <w:rFonts w:ascii="Times New Roman" w:hAnsi="Times New Roman"/>
          <w:b w:val="0"/>
          <w:i/>
          <w:sz w:val="28"/>
        </w:rPr>
        <w:t>Issued by:</w:t>
      </w:r>
    </w:p>
    <w:p w14:paraId="588793A6">
      <w:pPr>
        <w:spacing w:before="0" w:after="40"/>
        <w:jc w:val="both"/>
        <w:rPr>
          <w:rFonts w:ascii="Times New Roman" w:hAnsi="Times New Roman"/>
          <w:b w:val="0"/>
          <w:i/>
          <w:sz w:val="28"/>
        </w:rPr>
      </w:pPr>
    </w:p>
    <w:p w14:paraId="08614F51">
      <w:pPr>
        <w:numPr>
          <w:numId w:val="0"/>
        </w:numPr>
        <w:spacing w:before="0" w:after="40"/>
        <w:jc w:val="center"/>
        <w:rPr>
          <w:rFonts w:hint="default" w:ascii="Times New Roman" w:hAnsi="Times New Roman"/>
          <w:b/>
          <w:bCs/>
          <w:i/>
          <w:sz w:val="28"/>
          <w:lang w:val="en-US"/>
        </w:rPr>
      </w:pPr>
      <w:r>
        <w:rPr>
          <w:rFonts w:hint="default"/>
          <w:b/>
          <w:bCs/>
          <w:i/>
          <w:sz w:val="28"/>
          <w:lang w:val="en-US"/>
        </w:rPr>
        <w:t>Muhammad Tukur Jungudo, Esq.</w:t>
      </w:r>
    </w:p>
    <w:p w14:paraId="73FB6F61">
      <w:pPr>
        <w:spacing w:before="0" w:after="40"/>
        <w:jc w:val="center"/>
      </w:pPr>
      <w:r>
        <w:rPr>
          <w:rFonts w:hint="default"/>
          <w:b/>
          <w:i w:val="0"/>
          <w:sz w:val="28"/>
          <w:lang w:val="en-US"/>
        </w:rPr>
        <w:t xml:space="preserve">Director, </w:t>
      </w:r>
      <w:r>
        <w:rPr>
          <w:rFonts w:ascii="Times New Roman" w:hAnsi="Times New Roman"/>
          <w:b/>
          <w:i w:val="0"/>
          <w:sz w:val="28"/>
        </w:rPr>
        <w:t>ADR Directorate</w:t>
      </w:r>
    </w:p>
    <w:p w14:paraId="1B5F7172">
      <w:pPr>
        <w:spacing w:before="0" w:after="40"/>
        <w:jc w:val="center"/>
      </w:pPr>
      <w:r>
        <w:rPr>
          <w:rFonts w:ascii="Times New Roman" w:hAnsi="Times New Roman"/>
          <w:b/>
          <w:i w:val="0"/>
          <w:sz w:val="28"/>
        </w:rPr>
        <w:t>Gombe State Multi-Door Courthouse</w:t>
      </w:r>
    </w:p>
    <w:p w14:paraId="33EC6302">
      <w:pPr>
        <w:spacing w:before="0" w:after="40"/>
        <w:jc w:val="center"/>
      </w:pPr>
      <w:r>
        <w:rPr>
          <w:rFonts w:ascii="Times New Roman" w:hAnsi="Times New Roman"/>
          <w:b/>
          <w:i w:val="0"/>
          <w:sz w:val="28"/>
        </w:rPr>
        <w:t>High Court of Justice, Gombe State</w:t>
      </w:r>
    </w:p>
    <w:p w14:paraId="262B4CD2">
      <w:pPr>
        <w:spacing w:before="0" w:after="40"/>
        <w:jc w:val="center"/>
      </w:pPr>
      <w:r>
        <w:rPr>
          <w:rFonts w:ascii="Times New Roman" w:hAnsi="Times New Roman"/>
          <w:b w:val="0"/>
          <w:i w:val="0"/>
          <w:sz w:val="28"/>
        </w:rPr>
        <w:t>6</w:t>
      </w:r>
      <w:r>
        <w:rPr>
          <w:rFonts w:ascii="Times New Roman" w:hAnsi="Times New Roman"/>
          <w:b w:val="0"/>
          <w:i w:val="0"/>
          <w:sz w:val="28"/>
          <w:vertAlign w:val="superscript"/>
        </w:rPr>
        <w:t>th</w:t>
      </w:r>
      <w:r>
        <w:rPr>
          <w:rFonts w:hint="default"/>
          <w:b w:val="0"/>
          <w:i w:val="0"/>
          <w:sz w:val="28"/>
          <w:lang w:val="en-US"/>
        </w:rPr>
        <w:t xml:space="preserve"> August,</w:t>
      </w:r>
      <w:r>
        <w:rPr>
          <w:rFonts w:ascii="Times New Roman" w:hAnsi="Times New Roman"/>
          <w:b w:val="0"/>
          <w:i w:val="0"/>
          <w:sz w:val="28"/>
        </w:rPr>
        <w:t xml:space="preserve"> 2026</w:t>
      </w:r>
    </w:p>
    <w:sectPr>
      <w:footerReference r:id="rId5" w:type="default"/>
      <w:pgSz w:w="12240" w:h="15840"/>
      <w:pgMar w:top="1417" w:right="1417" w:bottom="1417" w:left="1701"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3EF2E">
    <w:pPr>
      <w:pStyle w:val="18"/>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66E573A">
                          <w:pPr>
                            <w:pStyle w:val="18"/>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166E573A">
                    <w:pPr>
                      <w:pStyle w:val="18"/>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7DD1E83"/>
    <w:rsid w:val="5CB1160F"/>
    <w:rsid w:val="65C370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8"/>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11</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Muhammad Tukur Jungudo</cp:lastModifiedBy>
  <cp:lastPrinted>2026-08-06T14:04:14Z</cp:lastPrinted>
  <dcterms:modified xsi:type="dcterms:W3CDTF">2026-08-06T14:04:59Z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40B1843F730D436EB97F882C608C2C00_12</vt:lpwstr>
  </property>
</Properties>
</file>